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E0" w:rsidRPr="00C47F9D" w:rsidRDefault="006C3C8B" w:rsidP="005C3E95">
      <w:pPr>
        <w:pStyle w:val="Pagrindinistekstas"/>
        <w:ind w:left="4513"/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18687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8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E0" w:rsidRPr="00C47F9D" w:rsidRDefault="006C3C8B">
      <w:pPr>
        <w:pStyle w:val="Antrat1"/>
        <w:spacing w:before="90"/>
        <w:ind w:right="1793"/>
      </w:pPr>
      <w:bookmarkStart w:id="1" w:name="ŠIAULIŲ_RAJONO_SAVIVALDYBĖS_ADMINISTRACI"/>
      <w:bookmarkEnd w:id="1"/>
      <w:r w:rsidRPr="00C47F9D">
        <w:t xml:space="preserve">ŠIAULIŲ RAJONO </w:t>
      </w:r>
      <w:r w:rsidRPr="00C47F9D">
        <w:rPr>
          <w:spacing w:val="-6"/>
        </w:rPr>
        <w:t xml:space="preserve">SAVIVALDYBĖS </w:t>
      </w:r>
      <w:r w:rsidRPr="00C47F9D">
        <w:t>DMINISTRACIJOS DIREKTORIUS</w:t>
      </w:r>
    </w:p>
    <w:p w:rsidR="006C07E0" w:rsidRDefault="006C3C8B">
      <w:pPr>
        <w:spacing w:before="184"/>
        <w:ind w:left="1791" w:right="1791"/>
        <w:jc w:val="center"/>
        <w:rPr>
          <w:b/>
          <w:sz w:val="24"/>
        </w:rPr>
      </w:pPr>
      <w:r>
        <w:rPr>
          <w:b/>
          <w:sz w:val="24"/>
        </w:rPr>
        <w:t>ĮSAKYMAS</w:t>
      </w:r>
    </w:p>
    <w:p w:rsidR="00AA4759" w:rsidRPr="00C47F9D" w:rsidRDefault="006C3C8B" w:rsidP="0060034D">
      <w:pPr>
        <w:ind w:left="100" w:right="118"/>
        <w:jc w:val="center"/>
        <w:rPr>
          <w:b/>
          <w:sz w:val="24"/>
          <w:szCs w:val="24"/>
        </w:rPr>
      </w:pPr>
      <w:r w:rsidRPr="00C47F9D">
        <w:rPr>
          <w:b/>
          <w:sz w:val="24"/>
          <w:szCs w:val="24"/>
        </w:rPr>
        <w:t>DĖL NEVYRIAUSYBINIŲ ORGANIZACIJŲ IR BENDRUOMENINĖS VEIKLOS STIPRINIMO 2020 METŲ VEIKSMŲ PLANO ĮGYVENDINIMO</w:t>
      </w:r>
    </w:p>
    <w:p w:rsidR="0060034D" w:rsidRPr="00454C92" w:rsidRDefault="006C3C8B" w:rsidP="0060034D">
      <w:pPr>
        <w:ind w:left="100" w:right="118"/>
        <w:jc w:val="center"/>
        <w:rPr>
          <w:b/>
          <w:color w:val="000000" w:themeColor="text1"/>
          <w:sz w:val="24"/>
          <w:szCs w:val="24"/>
        </w:rPr>
      </w:pPr>
      <w:r w:rsidRPr="00C47F9D">
        <w:rPr>
          <w:b/>
          <w:sz w:val="24"/>
          <w:szCs w:val="24"/>
        </w:rPr>
        <w:t xml:space="preserve">1.1.5 </w:t>
      </w:r>
      <w:r w:rsidR="0060034D" w:rsidRPr="00C47F9D">
        <w:rPr>
          <w:b/>
          <w:sz w:val="24"/>
          <w:szCs w:val="24"/>
        </w:rPr>
        <w:t xml:space="preserve">PRIEMONĖS </w:t>
      </w:r>
      <w:r w:rsidRPr="00C47F9D">
        <w:rPr>
          <w:b/>
          <w:sz w:val="24"/>
          <w:szCs w:val="24"/>
        </w:rPr>
        <w:t>„STIPRINTI BENDRUOMENINĘ VEIKLĄ SAVIVALDYBĖSE“ ĮGYVENDINIM</w:t>
      </w:r>
      <w:r w:rsidR="002D71CF" w:rsidRPr="00454C92">
        <w:rPr>
          <w:b/>
          <w:color w:val="000000" w:themeColor="text1"/>
          <w:sz w:val="24"/>
          <w:szCs w:val="24"/>
        </w:rPr>
        <w:t>UI</w:t>
      </w:r>
      <w:r w:rsidRPr="00454C92">
        <w:rPr>
          <w:b/>
          <w:color w:val="000000" w:themeColor="text1"/>
          <w:sz w:val="24"/>
          <w:szCs w:val="24"/>
        </w:rPr>
        <w:t xml:space="preserve"> </w:t>
      </w:r>
      <w:r w:rsidRPr="00C47F9D">
        <w:rPr>
          <w:b/>
          <w:sz w:val="24"/>
          <w:szCs w:val="24"/>
        </w:rPr>
        <w:t xml:space="preserve">ŠIAULIŲ RAJONO </w:t>
      </w:r>
      <w:r w:rsidRPr="00454C92">
        <w:rPr>
          <w:b/>
          <w:color w:val="000000" w:themeColor="text1"/>
          <w:sz w:val="24"/>
          <w:szCs w:val="24"/>
        </w:rPr>
        <w:t>SAVIVALDYB</w:t>
      </w:r>
      <w:r w:rsidR="002D71CF" w:rsidRPr="00454C92">
        <w:rPr>
          <w:b/>
          <w:color w:val="000000" w:themeColor="text1"/>
          <w:sz w:val="24"/>
          <w:szCs w:val="24"/>
        </w:rPr>
        <w:t>EI</w:t>
      </w:r>
    </w:p>
    <w:p w:rsidR="006C07E0" w:rsidRPr="002D71CF" w:rsidRDefault="006C3C8B" w:rsidP="0060034D">
      <w:pPr>
        <w:ind w:left="100" w:right="118"/>
        <w:jc w:val="center"/>
        <w:rPr>
          <w:b/>
          <w:strike/>
          <w:sz w:val="24"/>
          <w:szCs w:val="24"/>
        </w:rPr>
      </w:pPr>
      <w:r w:rsidRPr="00C47F9D">
        <w:rPr>
          <w:b/>
          <w:sz w:val="24"/>
          <w:szCs w:val="24"/>
        </w:rPr>
        <w:t xml:space="preserve"> 2020 </w:t>
      </w:r>
      <w:r w:rsidRPr="00454C92">
        <w:rPr>
          <w:b/>
          <w:color w:val="000000" w:themeColor="text1"/>
          <w:sz w:val="24"/>
          <w:szCs w:val="24"/>
        </w:rPr>
        <w:t>MET</w:t>
      </w:r>
      <w:r w:rsidR="002D71CF" w:rsidRPr="00454C92">
        <w:rPr>
          <w:b/>
          <w:color w:val="000000" w:themeColor="text1"/>
          <w:sz w:val="24"/>
          <w:szCs w:val="24"/>
        </w:rPr>
        <w:t xml:space="preserve">AMS SKIRTŲ VALSTYBĖS BIUDŽETO </w:t>
      </w:r>
      <w:r w:rsidRPr="00C47F9D">
        <w:rPr>
          <w:b/>
          <w:sz w:val="24"/>
          <w:szCs w:val="24"/>
        </w:rPr>
        <w:t xml:space="preserve">LĖŠŲ PASKIRSTYMO </w:t>
      </w:r>
    </w:p>
    <w:p w:rsidR="006C07E0" w:rsidRDefault="006C3C8B">
      <w:pPr>
        <w:pStyle w:val="Pagrindinistekstas"/>
        <w:spacing w:before="184"/>
        <w:ind w:left="3415" w:right="3410"/>
        <w:jc w:val="center"/>
      </w:pPr>
      <w:r>
        <w:t>20</w:t>
      </w:r>
      <w:r w:rsidR="0060034D">
        <w:t>20</w:t>
      </w:r>
      <w:r>
        <w:t xml:space="preserve"> m. b</w:t>
      </w:r>
      <w:r w:rsidR="0060034D">
        <w:t xml:space="preserve">alandžio   </w:t>
      </w:r>
      <w:r>
        <w:t xml:space="preserve"> d. Nr. A- Šiauliai</w:t>
      </w:r>
    </w:p>
    <w:p w:rsidR="006C07E0" w:rsidRPr="00555825" w:rsidRDefault="006C07E0" w:rsidP="00936BE5">
      <w:pPr>
        <w:pStyle w:val="Pagrindinistekstas"/>
        <w:jc w:val="both"/>
      </w:pPr>
    </w:p>
    <w:p w:rsidR="006C07E0" w:rsidRPr="00555825" w:rsidRDefault="0015465E" w:rsidP="00936BE5">
      <w:pPr>
        <w:pStyle w:val="Pagrindinistekstas"/>
        <w:ind w:right="20" w:firstLine="720"/>
        <w:jc w:val="both"/>
        <w:rPr>
          <w:color w:val="000000" w:themeColor="text1"/>
        </w:rPr>
      </w:pPr>
      <w:r w:rsidRPr="00555825">
        <w:rPr>
          <w:spacing w:val="-3"/>
        </w:rPr>
        <w:t>V</w:t>
      </w:r>
      <w:r w:rsidR="00AA4759" w:rsidRPr="00555825">
        <w:rPr>
          <w:spacing w:val="-3"/>
        </w:rPr>
        <w:t>adovaudamasis Lietuvos Respublikos vietos savivaldos įstatymo 29 straipsnio 8 dalies 2 punktu, Nevyriausybinių organizacijų ir bendruomeninės veiklos stiprinimo 2020 metų veiksmų plano įgyvendinimo 1.1.5 priemonės „Stiprinti bendruomeninę veiklą savivaldybėse“ įgyvendinimo apraš</w:t>
      </w:r>
      <w:r w:rsidR="00644C10" w:rsidRPr="00555825">
        <w:rPr>
          <w:spacing w:val="-3"/>
        </w:rPr>
        <w:t>u</w:t>
      </w:r>
      <w:r w:rsidR="00AA4759" w:rsidRPr="00555825">
        <w:rPr>
          <w:spacing w:val="-3"/>
        </w:rPr>
        <w:t>, patvirtint</w:t>
      </w:r>
      <w:r w:rsidR="00644C10" w:rsidRPr="00555825">
        <w:rPr>
          <w:spacing w:val="-3"/>
        </w:rPr>
        <w:t>u</w:t>
      </w:r>
      <w:r w:rsidR="00AA4759" w:rsidRPr="00555825">
        <w:rPr>
          <w:spacing w:val="-3"/>
        </w:rPr>
        <w:t xml:space="preserve"> Lietuvos Respublikos socialinės apsaugos ir darbo ministro 2020 m. vasario 4 d. įsakymu Nr. A1-86 „Dėl Nevyriausybinių organizacijų ir bendruomeninės veiklos stiprinimo 2020 metų veiksmų plano įgyvendinimo 1.1.5 priemonės „Stiprinti bendruomeninę veiklą savivaldybėse“ įgyvendinimo aprašo patvirtinimo“</w:t>
      </w:r>
      <w:r w:rsidR="00DB5D75" w:rsidRPr="00555825">
        <w:rPr>
          <w:spacing w:val="-3"/>
        </w:rPr>
        <w:t>,</w:t>
      </w:r>
      <w:r w:rsidR="00644C10" w:rsidRPr="00555825">
        <w:rPr>
          <w:spacing w:val="-3"/>
        </w:rPr>
        <w:t xml:space="preserve"> bei </w:t>
      </w:r>
      <w:r w:rsidR="00E74903" w:rsidRPr="00555825">
        <w:rPr>
          <w:color w:val="000000" w:themeColor="text1"/>
        </w:rPr>
        <w:t xml:space="preserve">Nevyriausybinių organizacijų ir bendruomeninės veiklos stiprinimo 2020 metų veiksmų plano įgyvendinimo 1.1.5 priemonės „Stiprinti bendruomeninę veiklą savivaldybėse“ įgyvendinimo ir lėšų skyrimo bei naudojimo Šiaulių rajono savivaldybėje tvarkos aprašo, patvirtinto </w:t>
      </w:r>
      <w:r w:rsidR="006C3C8B" w:rsidRPr="00555825">
        <w:rPr>
          <w:color w:val="000000" w:themeColor="text1"/>
        </w:rPr>
        <w:t>Šiaulių rajono savivaldybės administracijos direktoriaus 20</w:t>
      </w:r>
      <w:r w:rsidR="00DB5D75" w:rsidRPr="00555825">
        <w:rPr>
          <w:color w:val="000000" w:themeColor="text1"/>
        </w:rPr>
        <w:t>20</w:t>
      </w:r>
      <w:r w:rsidR="006C3C8B" w:rsidRPr="00555825">
        <w:rPr>
          <w:color w:val="000000" w:themeColor="text1"/>
        </w:rPr>
        <w:t xml:space="preserve"> m. </w:t>
      </w:r>
      <w:r w:rsidR="00DB5D75" w:rsidRPr="00555825">
        <w:rPr>
          <w:color w:val="000000" w:themeColor="text1"/>
        </w:rPr>
        <w:t>balandžio 3</w:t>
      </w:r>
      <w:r w:rsidR="006C3C8B" w:rsidRPr="00555825">
        <w:rPr>
          <w:color w:val="000000" w:themeColor="text1"/>
        </w:rPr>
        <w:t xml:space="preserve"> d. įsakymu </w:t>
      </w:r>
      <w:r w:rsidR="006C3C8B" w:rsidRPr="00555825">
        <w:rPr>
          <w:color w:val="000000" w:themeColor="text1"/>
          <w:spacing w:val="-5"/>
        </w:rPr>
        <w:t xml:space="preserve">Nr. </w:t>
      </w:r>
      <w:r w:rsidR="006C3C8B" w:rsidRPr="00555825">
        <w:rPr>
          <w:color w:val="000000" w:themeColor="text1"/>
        </w:rPr>
        <w:t>A-</w:t>
      </w:r>
      <w:r w:rsidR="00DB5D75" w:rsidRPr="00555825">
        <w:rPr>
          <w:color w:val="000000" w:themeColor="text1"/>
        </w:rPr>
        <w:t>511</w:t>
      </w:r>
      <w:r w:rsidR="006C3C8B" w:rsidRPr="00555825">
        <w:rPr>
          <w:color w:val="000000" w:themeColor="text1"/>
        </w:rPr>
        <w:t xml:space="preserve"> „Dėl Nevyriausybinių organizacijų ir bendruomeninės veiklos stiprinimo 20</w:t>
      </w:r>
      <w:r w:rsidR="009219EF" w:rsidRPr="00555825">
        <w:rPr>
          <w:color w:val="000000" w:themeColor="text1"/>
        </w:rPr>
        <w:t>20</w:t>
      </w:r>
      <w:r w:rsidR="006C3C8B" w:rsidRPr="00555825">
        <w:rPr>
          <w:color w:val="000000" w:themeColor="text1"/>
        </w:rPr>
        <w:t xml:space="preserve"> metų veiksmų plano įgyvendinimo </w:t>
      </w:r>
      <w:r w:rsidR="009219EF" w:rsidRPr="00555825">
        <w:rPr>
          <w:color w:val="000000" w:themeColor="text1"/>
        </w:rPr>
        <w:t>1.1.5 priemonės „Stiprinti bendruomeninę veiklą savivaldybėse“ įgyvendinimo ir lėšų skyrimo bei naudojimo Šiaulių rajono savivaldybėje tvarkos apraš</w:t>
      </w:r>
      <w:r w:rsidR="00644C10" w:rsidRPr="00555825">
        <w:rPr>
          <w:color w:val="000000" w:themeColor="text1"/>
        </w:rPr>
        <w:t>o</w:t>
      </w:r>
      <w:r w:rsidR="009219EF" w:rsidRPr="00555825">
        <w:rPr>
          <w:color w:val="000000" w:themeColor="text1"/>
        </w:rPr>
        <w:t xml:space="preserve"> patvirtinimo“</w:t>
      </w:r>
      <w:r w:rsidR="00E74903" w:rsidRPr="00555825">
        <w:rPr>
          <w:color w:val="000000" w:themeColor="text1"/>
        </w:rPr>
        <w:t>,</w:t>
      </w:r>
      <w:r w:rsidR="009219EF" w:rsidRPr="00555825">
        <w:rPr>
          <w:color w:val="000000" w:themeColor="text1"/>
        </w:rPr>
        <w:t xml:space="preserve"> </w:t>
      </w:r>
      <w:r w:rsidR="006C3C8B" w:rsidRPr="00555825">
        <w:rPr>
          <w:color w:val="000000" w:themeColor="text1"/>
        </w:rPr>
        <w:t>2</w:t>
      </w:r>
      <w:r w:rsidR="007A0F31" w:rsidRPr="00555825">
        <w:rPr>
          <w:color w:val="000000" w:themeColor="text1"/>
        </w:rPr>
        <w:t>2,</w:t>
      </w:r>
      <w:r w:rsidR="006C3C8B" w:rsidRPr="00555825">
        <w:rPr>
          <w:color w:val="000000" w:themeColor="text1"/>
        </w:rPr>
        <w:t xml:space="preserve"> 29, 3</w:t>
      </w:r>
      <w:r w:rsidR="007A0F31" w:rsidRPr="00555825">
        <w:rPr>
          <w:color w:val="000000" w:themeColor="text1"/>
        </w:rPr>
        <w:t>4</w:t>
      </w:r>
      <w:r w:rsidR="006C3C8B" w:rsidRPr="00555825">
        <w:rPr>
          <w:color w:val="000000" w:themeColor="text1"/>
        </w:rPr>
        <w:t>, 37 ir 38 punktais:</w:t>
      </w:r>
    </w:p>
    <w:p w:rsidR="002175FC" w:rsidRPr="00555825" w:rsidRDefault="006C3C8B" w:rsidP="00936BE5">
      <w:pPr>
        <w:ind w:firstLine="720"/>
        <w:jc w:val="both"/>
        <w:rPr>
          <w:sz w:val="24"/>
          <w:szCs w:val="24"/>
        </w:rPr>
      </w:pPr>
      <w:r w:rsidRPr="00555825">
        <w:rPr>
          <w:sz w:val="24"/>
          <w:szCs w:val="24"/>
        </w:rPr>
        <w:t xml:space="preserve">T v i r t i n u Nevyriausybinių organizacijų ir bendruomeninės veiklos stiprinimo </w:t>
      </w:r>
      <w:r w:rsidR="00170ACD" w:rsidRPr="00555825">
        <w:rPr>
          <w:spacing w:val="-3"/>
          <w:sz w:val="24"/>
          <w:szCs w:val="24"/>
        </w:rPr>
        <w:t>2020 metų veiksmų plano įgyvendinimo 1.1.5 priemonės „Stiprinti bendruomeninę veiklą savivaldybėse“</w:t>
      </w:r>
      <w:r w:rsidR="00170ACD" w:rsidRPr="00555825">
        <w:rPr>
          <w:sz w:val="24"/>
          <w:szCs w:val="24"/>
        </w:rPr>
        <w:t xml:space="preserve"> </w:t>
      </w:r>
      <w:r w:rsidRPr="00555825">
        <w:rPr>
          <w:sz w:val="24"/>
          <w:szCs w:val="24"/>
        </w:rPr>
        <w:t>(toliau – Priemonė) įgyvendin</w:t>
      </w:r>
      <w:r w:rsidR="00644C10" w:rsidRPr="00555825">
        <w:rPr>
          <w:sz w:val="24"/>
          <w:szCs w:val="24"/>
        </w:rPr>
        <w:t>imui</w:t>
      </w:r>
      <w:r w:rsidRPr="00555825">
        <w:rPr>
          <w:sz w:val="24"/>
          <w:szCs w:val="24"/>
        </w:rPr>
        <w:t xml:space="preserve"> Šiaulių rajono savivaldybei </w:t>
      </w:r>
      <w:r w:rsidR="00AB25BC" w:rsidRPr="00555825">
        <w:rPr>
          <w:sz w:val="24"/>
          <w:szCs w:val="24"/>
        </w:rPr>
        <w:t xml:space="preserve">2020 metams </w:t>
      </w:r>
      <w:r w:rsidRPr="00555825">
        <w:rPr>
          <w:sz w:val="24"/>
          <w:szCs w:val="24"/>
        </w:rPr>
        <w:t>skirtų 28 9</w:t>
      </w:r>
      <w:r w:rsidR="00170ACD" w:rsidRPr="00555825">
        <w:rPr>
          <w:sz w:val="24"/>
          <w:szCs w:val="24"/>
        </w:rPr>
        <w:t>84</w:t>
      </w:r>
      <w:r w:rsidRPr="00555825">
        <w:rPr>
          <w:sz w:val="24"/>
          <w:szCs w:val="24"/>
        </w:rPr>
        <w:t xml:space="preserve"> Eur (dvidešimt aštuonių tūkstančių devynių šimtų </w:t>
      </w:r>
      <w:r w:rsidR="00170ACD" w:rsidRPr="00555825">
        <w:rPr>
          <w:sz w:val="24"/>
          <w:szCs w:val="24"/>
        </w:rPr>
        <w:t>aštuo</w:t>
      </w:r>
      <w:r w:rsidRPr="00555825">
        <w:rPr>
          <w:sz w:val="24"/>
          <w:szCs w:val="24"/>
        </w:rPr>
        <w:t xml:space="preserve">niasdešimt </w:t>
      </w:r>
      <w:r w:rsidR="00170ACD" w:rsidRPr="00555825">
        <w:rPr>
          <w:sz w:val="24"/>
          <w:szCs w:val="24"/>
        </w:rPr>
        <w:t>keturi</w:t>
      </w:r>
      <w:r w:rsidR="005546C4" w:rsidRPr="00555825">
        <w:rPr>
          <w:sz w:val="24"/>
          <w:szCs w:val="24"/>
        </w:rPr>
        <w:t>ų</w:t>
      </w:r>
      <w:r w:rsidRPr="00555825">
        <w:rPr>
          <w:sz w:val="24"/>
          <w:szCs w:val="24"/>
        </w:rPr>
        <w:t xml:space="preserve"> Eur) </w:t>
      </w:r>
      <w:r w:rsidR="00301954" w:rsidRPr="00555825">
        <w:rPr>
          <w:sz w:val="24"/>
          <w:szCs w:val="24"/>
        </w:rPr>
        <w:t xml:space="preserve">valstybės biudžeto </w:t>
      </w:r>
      <w:r w:rsidRPr="00555825">
        <w:rPr>
          <w:sz w:val="24"/>
          <w:szCs w:val="24"/>
        </w:rPr>
        <w:t>lėšų paskirstymą.</w:t>
      </w:r>
    </w:p>
    <w:p w:rsidR="006C07E0" w:rsidRPr="00555825" w:rsidRDefault="006C3C8B" w:rsidP="008B6C5E">
      <w:pPr>
        <w:pStyle w:val="Sraopastraipa"/>
        <w:numPr>
          <w:ilvl w:val="0"/>
          <w:numId w:val="6"/>
        </w:numPr>
        <w:rPr>
          <w:sz w:val="24"/>
          <w:szCs w:val="24"/>
        </w:rPr>
      </w:pPr>
      <w:r w:rsidRPr="00555825">
        <w:rPr>
          <w:color w:val="000000" w:themeColor="text1"/>
          <w:sz w:val="24"/>
          <w:szCs w:val="24"/>
        </w:rPr>
        <w:t>S k i r i</w:t>
      </w:r>
      <w:r w:rsidRPr="00555825">
        <w:rPr>
          <w:color w:val="000000" w:themeColor="text1"/>
          <w:spacing w:val="-2"/>
          <w:sz w:val="24"/>
          <w:szCs w:val="24"/>
        </w:rPr>
        <w:t xml:space="preserve"> </w:t>
      </w:r>
      <w:r w:rsidRPr="00555825">
        <w:rPr>
          <w:color w:val="000000" w:themeColor="text1"/>
          <w:sz w:val="24"/>
          <w:szCs w:val="24"/>
        </w:rPr>
        <w:t>u:</w:t>
      </w:r>
    </w:p>
    <w:p w:rsidR="006C07E0" w:rsidRPr="00555825" w:rsidRDefault="002175FC" w:rsidP="00E83052">
      <w:pPr>
        <w:pStyle w:val="Sraopastraipa"/>
        <w:numPr>
          <w:ilvl w:val="1"/>
          <w:numId w:val="6"/>
        </w:numPr>
        <w:tabs>
          <w:tab w:val="left" w:pos="284"/>
        </w:tabs>
        <w:ind w:left="0" w:right="111" w:firstLine="720"/>
        <w:rPr>
          <w:color w:val="000000" w:themeColor="text1"/>
          <w:sz w:val="24"/>
          <w:szCs w:val="24"/>
        </w:rPr>
      </w:pPr>
      <w:r w:rsidRPr="00555825">
        <w:rPr>
          <w:color w:val="000000" w:themeColor="text1"/>
          <w:sz w:val="24"/>
          <w:szCs w:val="24"/>
        </w:rPr>
        <w:t>2</w:t>
      </w:r>
      <w:r w:rsidR="009668AF" w:rsidRPr="00555825">
        <w:rPr>
          <w:color w:val="000000" w:themeColor="text1"/>
          <w:sz w:val="24"/>
          <w:szCs w:val="24"/>
        </w:rPr>
        <w:t>8</w:t>
      </w:r>
      <w:r w:rsidR="001832CC" w:rsidRPr="00555825">
        <w:rPr>
          <w:color w:val="000000" w:themeColor="text1"/>
          <w:sz w:val="24"/>
          <w:szCs w:val="24"/>
        </w:rPr>
        <w:t xml:space="preserve"> </w:t>
      </w:r>
      <w:r w:rsidR="009668AF" w:rsidRPr="00555825">
        <w:rPr>
          <w:color w:val="000000" w:themeColor="text1"/>
          <w:sz w:val="24"/>
          <w:szCs w:val="24"/>
        </w:rPr>
        <w:t>40</w:t>
      </w:r>
      <w:r w:rsidR="008B6C5E" w:rsidRPr="00555825">
        <w:rPr>
          <w:color w:val="000000" w:themeColor="text1"/>
          <w:sz w:val="24"/>
          <w:szCs w:val="24"/>
        </w:rPr>
        <w:t>4,32</w:t>
      </w:r>
      <w:r w:rsidR="009668AF" w:rsidRPr="00555825">
        <w:rPr>
          <w:color w:val="000000" w:themeColor="text1"/>
          <w:sz w:val="24"/>
          <w:szCs w:val="24"/>
        </w:rPr>
        <w:t xml:space="preserve"> </w:t>
      </w:r>
      <w:r w:rsidR="006C3C8B" w:rsidRPr="00555825">
        <w:rPr>
          <w:color w:val="000000" w:themeColor="text1"/>
          <w:sz w:val="24"/>
          <w:szCs w:val="24"/>
        </w:rPr>
        <w:t>Eur (</w:t>
      </w:r>
      <w:r w:rsidR="001358CD" w:rsidRPr="00555825">
        <w:rPr>
          <w:color w:val="000000" w:themeColor="text1"/>
          <w:sz w:val="24"/>
          <w:szCs w:val="24"/>
        </w:rPr>
        <w:t>dvidešimt aštuoni</w:t>
      </w:r>
      <w:r w:rsidR="00AB25BC" w:rsidRPr="00555825">
        <w:rPr>
          <w:color w:val="000000" w:themeColor="text1"/>
          <w:sz w:val="24"/>
          <w:szCs w:val="24"/>
        </w:rPr>
        <w:t>s</w:t>
      </w:r>
      <w:r w:rsidR="001358CD" w:rsidRPr="00555825">
        <w:rPr>
          <w:color w:val="000000" w:themeColor="text1"/>
          <w:sz w:val="24"/>
          <w:szCs w:val="24"/>
        </w:rPr>
        <w:t xml:space="preserve"> tūkstanči</w:t>
      </w:r>
      <w:r w:rsidR="00AB25BC" w:rsidRPr="00555825">
        <w:rPr>
          <w:color w:val="000000" w:themeColor="text1"/>
          <w:sz w:val="24"/>
          <w:szCs w:val="24"/>
        </w:rPr>
        <w:t>us</w:t>
      </w:r>
      <w:r w:rsidR="001358CD" w:rsidRPr="00555825">
        <w:rPr>
          <w:color w:val="000000" w:themeColor="text1"/>
          <w:sz w:val="24"/>
          <w:szCs w:val="24"/>
        </w:rPr>
        <w:t xml:space="preserve"> keturi</w:t>
      </w:r>
      <w:r w:rsidR="00AB25BC" w:rsidRPr="00555825">
        <w:rPr>
          <w:color w:val="000000" w:themeColor="text1"/>
          <w:sz w:val="24"/>
          <w:szCs w:val="24"/>
        </w:rPr>
        <w:t>s</w:t>
      </w:r>
      <w:r w:rsidR="001358CD" w:rsidRPr="00555825">
        <w:rPr>
          <w:color w:val="000000" w:themeColor="text1"/>
          <w:sz w:val="24"/>
          <w:szCs w:val="24"/>
        </w:rPr>
        <w:t xml:space="preserve"> šimt</w:t>
      </w:r>
      <w:r w:rsidR="00AB25BC" w:rsidRPr="00555825">
        <w:rPr>
          <w:color w:val="000000" w:themeColor="text1"/>
          <w:sz w:val="24"/>
          <w:szCs w:val="24"/>
        </w:rPr>
        <w:t>us</w:t>
      </w:r>
      <w:r w:rsidR="001358CD" w:rsidRPr="00555825">
        <w:rPr>
          <w:color w:val="000000" w:themeColor="text1"/>
          <w:sz w:val="24"/>
          <w:szCs w:val="24"/>
        </w:rPr>
        <w:t xml:space="preserve"> </w:t>
      </w:r>
      <w:r w:rsidR="00F939A5" w:rsidRPr="00555825">
        <w:rPr>
          <w:color w:val="000000" w:themeColor="text1"/>
          <w:sz w:val="24"/>
          <w:szCs w:val="24"/>
        </w:rPr>
        <w:t>keturis</w:t>
      </w:r>
      <w:r w:rsidR="00170ACD" w:rsidRPr="00555825">
        <w:rPr>
          <w:color w:val="000000" w:themeColor="text1"/>
          <w:sz w:val="24"/>
          <w:szCs w:val="24"/>
        </w:rPr>
        <w:t xml:space="preserve"> </w:t>
      </w:r>
      <w:r w:rsidR="006C3C8B" w:rsidRPr="00555825">
        <w:rPr>
          <w:color w:val="000000" w:themeColor="text1"/>
          <w:sz w:val="24"/>
          <w:szCs w:val="24"/>
        </w:rPr>
        <w:t>Eur</w:t>
      </w:r>
      <w:r w:rsidR="00F939A5" w:rsidRPr="00555825">
        <w:rPr>
          <w:color w:val="000000" w:themeColor="text1"/>
          <w:sz w:val="24"/>
          <w:szCs w:val="24"/>
        </w:rPr>
        <w:t xml:space="preserve"> 32 cnt</w:t>
      </w:r>
      <w:r w:rsidR="00F027CD" w:rsidRPr="00555825">
        <w:rPr>
          <w:color w:val="000000" w:themeColor="text1"/>
          <w:sz w:val="24"/>
          <w:szCs w:val="24"/>
        </w:rPr>
        <w:t>)</w:t>
      </w:r>
      <w:r w:rsidR="006C3C8B" w:rsidRPr="00555825">
        <w:rPr>
          <w:color w:val="000000" w:themeColor="text1"/>
          <w:sz w:val="24"/>
          <w:szCs w:val="24"/>
        </w:rPr>
        <w:t xml:space="preserve"> Šiaulių rajono savivaldybės administracijos vienuolikai seniūnijų (toliau – Seniūnijos) pagal sąrašą (priedas);</w:t>
      </w:r>
    </w:p>
    <w:p w:rsidR="006C07E0" w:rsidRPr="00555825" w:rsidRDefault="009668AF" w:rsidP="00E83052">
      <w:pPr>
        <w:pStyle w:val="Sraopastraipa"/>
        <w:numPr>
          <w:ilvl w:val="1"/>
          <w:numId w:val="6"/>
        </w:numPr>
        <w:tabs>
          <w:tab w:val="left" w:pos="0"/>
        </w:tabs>
        <w:ind w:left="0" w:right="106" w:firstLine="720"/>
        <w:rPr>
          <w:color w:val="000000" w:themeColor="text1"/>
          <w:sz w:val="24"/>
          <w:szCs w:val="24"/>
        </w:rPr>
      </w:pPr>
      <w:r w:rsidRPr="00555825">
        <w:rPr>
          <w:color w:val="000000" w:themeColor="text1"/>
          <w:sz w:val="24"/>
          <w:szCs w:val="24"/>
        </w:rPr>
        <w:t>579,</w:t>
      </w:r>
      <w:r w:rsidR="008B6C5E" w:rsidRPr="00555825">
        <w:rPr>
          <w:color w:val="000000" w:themeColor="text1"/>
          <w:sz w:val="24"/>
          <w:szCs w:val="24"/>
        </w:rPr>
        <w:t>68</w:t>
      </w:r>
      <w:r w:rsidRPr="00555825">
        <w:rPr>
          <w:color w:val="000000" w:themeColor="text1"/>
          <w:sz w:val="24"/>
          <w:szCs w:val="24"/>
        </w:rPr>
        <w:t xml:space="preserve"> </w:t>
      </w:r>
      <w:r w:rsidR="006C3C8B" w:rsidRPr="00555825">
        <w:rPr>
          <w:color w:val="000000" w:themeColor="text1"/>
          <w:sz w:val="24"/>
          <w:szCs w:val="24"/>
        </w:rPr>
        <w:t>Eur (</w:t>
      </w:r>
      <w:r w:rsidR="001358CD" w:rsidRPr="00555825">
        <w:rPr>
          <w:color w:val="000000" w:themeColor="text1"/>
          <w:sz w:val="24"/>
          <w:szCs w:val="24"/>
        </w:rPr>
        <w:t>penki</w:t>
      </w:r>
      <w:r w:rsidR="00AB25BC" w:rsidRPr="00555825">
        <w:rPr>
          <w:color w:val="000000" w:themeColor="text1"/>
          <w:sz w:val="24"/>
          <w:szCs w:val="24"/>
        </w:rPr>
        <w:t>s</w:t>
      </w:r>
      <w:r w:rsidR="001358CD" w:rsidRPr="00555825">
        <w:rPr>
          <w:color w:val="000000" w:themeColor="text1"/>
          <w:sz w:val="24"/>
          <w:szCs w:val="24"/>
        </w:rPr>
        <w:t xml:space="preserve"> šimt</w:t>
      </w:r>
      <w:r w:rsidR="00AB25BC" w:rsidRPr="00555825">
        <w:rPr>
          <w:color w:val="000000" w:themeColor="text1"/>
          <w:sz w:val="24"/>
          <w:szCs w:val="24"/>
        </w:rPr>
        <w:t>us</w:t>
      </w:r>
      <w:r w:rsidR="001358CD" w:rsidRPr="00555825">
        <w:rPr>
          <w:color w:val="000000" w:themeColor="text1"/>
          <w:sz w:val="24"/>
          <w:szCs w:val="24"/>
        </w:rPr>
        <w:t xml:space="preserve"> septyniasdešimt devyni</w:t>
      </w:r>
      <w:r w:rsidR="00AB25BC" w:rsidRPr="00555825">
        <w:rPr>
          <w:color w:val="000000" w:themeColor="text1"/>
          <w:sz w:val="24"/>
          <w:szCs w:val="24"/>
        </w:rPr>
        <w:t>s</w:t>
      </w:r>
      <w:r w:rsidR="006C3C8B" w:rsidRPr="00555825">
        <w:rPr>
          <w:color w:val="000000" w:themeColor="text1"/>
          <w:sz w:val="24"/>
          <w:szCs w:val="24"/>
        </w:rPr>
        <w:t xml:space="preserve"> Eur</w:t>
      </w:r>
      <w:r w:rsidR="00F939A5" w:rsidRPr="00555825">
        <w:rPr>
          <w:color w:val="000000" w:themeColor="text1"/>
          <w:sz w:val="24"/>
          <w:szCs w:val="24"/>
        </w:rPr>
        <w:t xml:space="preserve"> 68 cnt</w:t>
      </w:r>
      <w:r w:rsidR="00BE5E43" w:rsidRPr="00555825">
        <w:rPr>
          <w:color w:val="000000" w:themeColor="text1"/>
          <w:sz w:val="24"/>
          <w:szCs w:val="24"/>
        </w:rPr>
        <w:t>)</w:t>
      </w:r>
      <w:r w:rsidR="002F7956" w:rsidRPr="00555825">
        <w:rPr>
          <w:color w:val="000000" w:themeColor="text1"/>
          <w:sz w:val="24"/>
          <w:szCs w:val="24"/>
        </w:rPr>
        <w:t xml:space="preserve"> Šiaulių rajono savivaldybės administracijos darbuotojų</w:t>
      </w:r>
      <w:r w:rsidR="00BE5E43" w:rsidRPr="00555825">
        <w:rPr>
          <w:color w:val="000000" w:themeColor="text1"/>
          <w:sz w:val="24"/>
          <w:szCs w:val="24"/>
        </w:rPr>
        <w:t xml:space="preserve">, paskirtų </w:t>
      </w:r>
      <w:r w:rsidR="006C3C8B" w:rsidRPr="00555825">
        <w:rPr>
          <w:color w:val="000000" w:themeColor="text1"/>
          <w:sz w:val="24"/>
          <w:szCs w:val="24"/>
        </w:rPr>
        <w:t>Priemonei administruoti</w:t>
      </w:r>
      <w:r w:rsidR="00BE5E43" w:rsidRPr="00555825">
        <w:rPr>
          <w:color w:val="000000" w:themeColor="text1"/>
          <w:sz w:val="24"/>
          <w:szCs w:val="24"/>
        </w:rPr>
        <w:t>,</w:t>
      </w:r>
      <w:r w:rsidR="006C3C8B" w:rsidRPr="00555825">
        <w:rPr>
          <w:color w:val="000000" w:themeColor="text1"/>
          <w:sz w:val="24"/>
          <w:szCs w:val="24"/>
        </w:rPr>
        <w:t xml:space="preserve"> darbo užmokesčiui, įskaitant gyventojų pajamų mokestį ir socialinio draudimo</w:t>
      </w:r>
      <w:r w:rsidR="006C3C8B" w:rsidRPr="00555825">
        <w:rPr>
          <w:color w:val="000000" w:themeColor="text1"/>
          <w:spacing w:val="-2"/>
          <w:sz w:val="24"/>
          <w:szCs w:val="24"/>
        </w:rPr>
        <w:t xml:space="preserve"> </w:t>
      </w:r>
      <w:r w:rsidR="006C3C8B" w:rsidRPr="00555825">
        <w:rPr>
          <w:color w:val="000000" w:themeColor="text1"/>
          <w:sz w:val="24"/>
          <w:szCs w:val="24"/>
        </w:rPr>
        <w:t>įmokas.</w:t>
      </w:r>
    </w:p>
    <w:p w:rsidR="006C07E0" w:rsidRPr="00555825" w:rsidRDefault="006C3C8B" w:rsidP="008B6C5E">
      <w:pPr>
        <w:pStyle w:val="Sraopastraipa"/>
        <w:numPr>
          <w:ilvl w:val="0"/>
          <w:numId w:val="6"/>
        </w:numPr>
        <w:tabs>
          <w:tab w:val="left" w:pos="1064"/>
        </w:tabs>
        <w:rPr>
          <w:color w:val="000000" w:themeColor="text1"/>
          <w:sz w:val="24"/>
          <w:szCs w:val="24"/>
        </w:rPr>
      </w:pPr>
      <w:r w:rsidRPr="00555825">
        <w:rPr>
          <w:color w:val="000000" w:themeColor="text1"/>
          <w:sz w:val="24"/>
          <w:szCs w:val="24"/>
        </w:rPr>
        <w:t>P a v e d u Šiaulių rajono savivaldybės administracijos Buhalterinės apskaitos</w:t>
      </w:r>
      <w:r w:rsidRPr="00555825">
        <w:rPr>
          <w:color w:val="000000" w:themeColor="text1"/>
          <w:spacing w:val="-27"/>
          <w:sz w:val="24"/>
          <w:szCs w:val="24"/>
        </w:rPr>
        <w:t xml:space="preserve"> </w:t>
      </w:r>
      <w:r w:rsidRPr="00555825">
        <w:rPr>
          <w:color w:val="000000" w:themeColor="text1"/>
          <w:sz w:val="24"/>
          <w:szCs w:val="24"/>
        </w:rPr>
        <w:t>skyriui:</w:t>
      </w:r>
    </w:p>
    <w:p w:rsidR="00AB25BC" w:rsidRPr="00555825" w:rsidRDefault="00E83052" w:rsidP="00E83052">
      <w:pPr>
        <w:pStyle w:val="Sraopastraipa"/>
        <w:numPr>
          <w:ilvl w:val="1"/>
          <w:numId w:val="6"/>
        </w:numPr>
        <w:tabs>
          <w:tab w:val="left" w:pos="0"/>
        </w:tabs>
        <w:ind w:left="0" w:firstLine="720"/>
        <w:rPr>
          <w:color w:val="000000" w:themeColor="text1"/>
          <w:sz w:val="24"/>
          <w:szCs w:val="24"/>
        </w:rPr>
      </w:pPr>
      <w:r w:rsidRPr="00555825">
        <w:rPr>
          <w:color w:val="000000" w:themeColor="text1"/>
          <w:sz w:val="24"/>
          <w:szCs w:val="24"/>
        </w:rPr>
        <w:t xml:space="preserve"> </w:t>
      </w:r>
      <w:r w:rsidR="002175FC" w:rsidRPr="00555825">
        <w:rPr>
          <w:color w:val="000000" w:themeColor="text1"/>
          <w:sz w:val="24"/>
          <w:szCs w:val="24"/>
        </w:rPr>
        <w:t>l</w:t>
      </w:r>
      <w:r w:rsidR="00AB25BC" w:rsidRPr="00555825">
        <w:rPr>
          <w:color w:val="000000" w:themeColor="text1"/>
          <w:sz w:val="24"/>
          <w:szCs w:val="24"/>
        </w:rPr>
        <w:t>aiku atlikti visas būtinas Priemonės finansines operacijas bei kontroliuoti Priemonės lėšų panaudojimą;</w:t>
      </w:r>
    </w:p>
    <w:p w:rsidR="00AB25BC" w:rsidRPr="00555825" w:rsidRDefault="00E83052" w:rsidP="00E83052">
      <w:pPr>
        <w:pStyle w:val="Sraopastraipa"/>
        <w:numPr>
          <w:ilvl w:val="1"/>
          <w:numId w:val="6"/>
        </w:numPr>
        <w:tabs>
          <w:tab w:val="left" w:pos="1310"/>
        </w:tabs>
        <w:ind w:left="0" w:right="106" w:firstLine="720"/>
        <w:rPr>
          <w:color w:val="000000" w:themeColor="text1"/>
          <w:sz w:val="24"/>
          <w:szCs w:val="24"/>
        </w:rPr>
      </w:pPr>
      <w:r w:rsidRPr="00555825">
        <w:rPr>
          <w:color w:val="000000" w:themeColor="text1"/>
          <w:sz w:val="24"/>
          <w:szCs w:val="24"/>
        </w:rPr>
        <w:t xml:space="preserve"> </w:t>
      </w:r>
      <w:r w:rsidR="00AB25BC" w:rsidRPr="00555825">
        <w:rPr>
          <w:color w:val="000000" w:themeColor="text1"/>
          <w:sz w:val="24"/>
          <w:szCs w:val="24"/>
        </w:rPr>
        <w:t xml:space="preserve">atsiskaityti </w:t>
      </w:r>
      <w:r w:rsidR="00E74903" w:rsidRPr="00555825">
        <w:rPr>
          <w:color w:val="000000" w:themeColor="text1"/>
          <w:sz w:val="24"/>
          <w:szCs w:val="24"/>
        </w:rPr>
        <w:t>S</w:t>
      </w:r>
      <w:r w:rsidR="00AB25BC" w:rsidRPr="00555825">
        <w:rPr>
          <w:color w:val="000000" w:themeColor="text1"/>
          <w:sz w:val="24"/>
          <w:szCs w:val="24"/>
        </w:rPr>
        <w:t xml:space="preserve">ocialinių paslaugų priežiūros departamentui prie Lietuvos Respublikos socialinės apsaugos ir darbo ministerijos apie Priemonei </w:t>
      </w:r>
      <w:r w:rsidR="00BE5E43" w:rsidRPr="00555825">
        <w:rPr>
          <w:color w:val="000000" w:themeColor="text1"/>
          <w:sz w:val="24"/>
          <w:szCs w:val="24"/>
        </w:rPr>
        <w:t xml:space="preserve">2020 metams </w:t>
      </w:r>
      <w:r w:rsidR="00AB25BC" w:rsidRPr="00555825">
        <w:rPr>
          <w:color w:val="000000" w:themeColor="text1"/>
          <w:sz w:val="24"/>
          <w:szCs w:val="24"/>
        </w:rPr>
        <w:t xml:space="preserve">skirtų </w:t>
      </w:r>
      <w:r w:rsidR="00E74903" w:rsidRPr="00555825">
        <w:rPr>
          <w:color w:val="000000" w:themeColor="text1"/>
          <w:sz w:val="24"/>
          <w:szCs w:val="24"/>
        </w:rPr>
        <w:t xml:space="preserve">valstybės biudžeto </w:t>
      </w:r>
      <w:r w:rsidR="00AB25BC" w:rsidRPr="00555825">
        <w:rPr>
          <w:color w:val="000000" w:themeColor="text1"/>
          <w:sz w:val="24"/>
          <w:szCs w:val="24"/>
        </w:rPr>
        <w:t>lėšų</w:t>
      </w:r>
      <w:r w:rsidR="00AB25BC" w:rsidRPr="00555825">
        <w:rPr>
          <w:color w:val="000000" w:themeColor="text1"/>
          <w:spacing w:val="-11"/>
          <w:sz w:val="24"/>
          <w:szCs w:val="24"/>
        </w:rPr>
        <w:t xml:space="preserve"> </w:t>
      </w:r>
      <w:r w:rsidR="00AB25BC" w:rsidRPr="00555825">
        <w:rPr>
          <w:color w:val="000000" w:themeColor="text1"/>
          <w:sz w:val="24"/>
          <w:szCs w:val="24"/>
        </w:rPr>
        <w:t>panaudojimą.</w:t>
      </w:r>
    </w:p>
    <w:p w:rsidR="006C07E0" w:rsidRPr="00555825" w:rsidRDefault="002175FC" w:rsidP="002175FC">
      <w:pPr>
        <w:tabs>
          <w:tab w:val="left" w:pos="0"/>
        </w:tabs>
        <w:ind w:right="109" w:hanging="1560"/>
        <w:rPr>
          <w:color w:val="000000" w:themeColor="text1"/>
          <w:sz w:val="24"/>
          <w:szCs w:val="24"/>
        </w:rPr>
      </w:pPr>
      <w:r w:rsidRPr="00555825">
        <w:rPr>
          <w:color w:val="000000" w:themeColor="text1"/>
          <w:sz w:val="24"/>
          <w:szCs w:val="24"/>
        </w:rPr>
        <w:tab/>
      </w:r>
      <w:r w:rsidR="008B6C5E" w:rsidRPr="00555825">
        <w:rPr>
          <w:color w:val="000000" w:themeColor="text1"/>
          <w:sz w:val="24"/>
          <w:szCs w:val="24"/>
        </w:rPr>
        <w:tab/>
        <w:t>Š</w:t>
      </w:r>
      <w:r w:rsidR="006C3C8B" w:rsidRPr="00555825">
        <w:rPr>
          <w:color w:val="000000" w:themeColor="text1"/>
          <w:sz w:val="24"/>
          <w:szCs w:val="24"/>
        </w:rPr>
        <w:t>is įsakymas skelbiamas Teisės aktų registre ir gali būti skundžiamas Lietuvos Respublikos administracinių bylų teisenos įstatymo nustatyta tvarka.</w:t>
      </w:r>
    </w:p>
    <w:p w:rsidR="006C07E0" w:rsidRDefault="006C07E0">
      <w:pPr>
        <w:pStyle w:val="Pagrindinistekstas"/>
        <w:rPr>
          <w:color w:val="000000" w:themeColor="text1"/>
        </w:rPr>
      </w:pPr>
    </w:p>
    <w:p w:rsidR="005C3E95" w:rsidRPr="00555825" w:rsidRDefault="005C3E95">
      <w:pPr>
        <w:pStyle w:val="Pagrindinistekstas"/>
        <w:rPr>
          <w:color w:val="000000" w:themeColor="text1"/>
        </w:rPr>
      </w:pPr>
    </w:p>
    <w:p w:rsidR="006C07E0" w:rsidRPr="00555825" w:rsidRDefault="006C3C8B">
      <w:pPr>
        <w:pStyle w:val="Pagrindinistekstas"/>
        <w:tabs>
          <w:tab w:val="left" w:pos="8095"/>
        </w:tabs>
        <w:ind w:left="104" w:right="170"/>
        <w:rPr>
          <w:spacing w:val="-3"/>
        </w:rPr>
      </w:pPr>
      <w:r w:rsidRPr="00555825">
        <w:rPr>
          <w:color w:val="000000" w:themeColor="text1"/>
        </w:rPr>
        <w:t>Administracijos</w:t>
      </w:r>
      <w:r w:rsidRPr="00555825">
        <w:rPr>
          <w:color w:val="000000" w:themeColor="text1"/>
          <w:spacing w:val="-4"/>
        </w:rPr>
        <w:t xml:space="preserve"> </w:t>
      </w:r>
      <w:r w:rsidRPr="00555825">
        <w:rPr>
          <w:color w:val="000000" w:themeColor="text1"/>
        </w:rPr>
        <w:t>direktorius</w:t>
      </w:r>
      <w:r w:rsidRPr="00555825">
        <w:rPr>
          <w:color w:val="000000" w:themeColor="text1"/>
          <w:spacing w:val="-3"/>
        </w:rPr>
        <w:t xml:space="preserve"> </w:t>
      </w:r>
      <w:r w:rsidR="00170ACD" w:rsidRPr="00555825">
        <w:rPr>
          <w:color w:val="000000" w:themeColor="text1"/>
          <w:spacing w:val="-3"/>
        </w:rPr>
        <w:t xml:space="preserve">                                                                   </w:t>
      </w:r>
      <w:r w:rsidR="00AB25BC" w:rsidRPr="00555825">
        <w:rPr>
          <w:color w:val="000000" w:themeColor="text1"/>
          <w:spacing w:val="-3"/>
        </w:rPr>
        <w:t xml:space="preserve">                 </w:t>
      </w:r>
      <w:r w:rsidR="00170ACD" w:rsidRPr="00555825">
        <w:rPr>
          <w:color w:val="000000" w:themeColor="text1"/>
          <w:spacing w:val="-3"/>
        </w:rPr>
        <w:t xml:space="preserve">  </w:t>
      </w:r>
      <w:proofErr w:type="spellStart"/>
      <w:r w:rsidR="00170ACD" w:rsidRPr="00555825">
        <w:rPr>
          <w:spacing w:val="-3"/>
        </w:rPr>
        <w:t>Gipoldas</w:t>
      </w:r>
      <w:proofErr w:type="spellEnd"/>
      <w:r w:rsidR="00170ACD" w:rsidRPr="00555825">
        <w:rPr>
          <w:spacing w:val="-3"/>
        </w:rPr>
        <w:t xml:space="preserve"> Karklelis</w:t>
      </w:r>
    </w:p>
    <w:p w:rsidR="00801696" w:rsidRPr="00555825" w:rsidRDefault="00801696">
      <w:pPr>
        <w:pStyle w:val="Pagrindinistekstas"/>
        <w:tabs>
          <w:tab w:val="left" w:pos="8095"/>
        </w:tabs>
        <w:ind w:left="104" w:right="170"/>
        <w:rPr>
          <w:spacing w:val="-3"/>
        </w:rPr>
      </w:pPr>
    </w:p>
    <w:p w:rsidR="00801696" w:rsidRPr="00555825" w:rsidRDefault="00801696">
      <w:pPr>
        <w:pStyle w:val="Pagrindinistekstas"/>
        <w:tabs>
          <w:tab w:val="left" w:pos="8095"/>
        </w:tabs>
        <w:ind w:left="104" w:right="170"/>
        <w:rPr>
          <w:spacing w:val="-3"/>
        </w:rPr>
      </w:pPr>
    </w:p>
    <w:p w:rsidR="006C07E0" w:rsidRDefault="006C07E0">
      <w:pPr>
        <w:sectPr w:rsidR="006C07E0" w:rsidSect="005C3E95">
          <w:type w:val="continuous"/>
          <w:pgSz w:w="11900" w:h="16840"/>
          <w:pgMar w:top="1080" w:right="560" w:bottom="280" w:left="1600" w:header="720" w:footer="720" w:gutter="0"/>
          <w:cols w:space="720"/>
        </w:sectPr>
      </w:pPr>
    </w:p>
    <w:p w:rsidR="006C07E0" w:rsidRDefault="006C3C8B">
      <w:pPr>
        <w:pStyle w:val="Pagrindinistekstas"/>
        <w:spacing w:before="70"/>
        <w:ind w:left="4424" w:right="170"/>
      </w:pPr>
      <w:r>
        <w:lastRenderedPageBreak/>
        <w:t>Šiaulių rajono savivaldybės administracijos direktoriaus 20</w:t>
      </w:r>
      <w:r w:rsidR="00170ACD">
        <w:t>20</w:t>
      </w:r>
      <w:r>
        <w:t xml:space="preserve"> m. b</w:t>
      </w:r>
      <w:r w:rsidR="00170ACD">
        <w:t xml:space="preserve">alandžio   </w:t>
      </w:r>
      <w:r>
        <w:t>d. įsakymo Nr. A- priedas</w:t>
      </w:r>
    </w:p>
    <w:p w:rsidR="00B60198" w:rsidRDefault="00B60198">
      <w:pPr>
        <w:pStyle w:val="Pagrindinistekstas"/>
        <w:spacing w:before="70"/>
        <w:ind w:left="4424" w:right="170"/>
      </w:pPr>
    </w:p>
    <w:p w:rsidR="006C07E0" w:rsidRPr="00454C92" w:rsidRDefault="006C07E0">
      <w:pPr>
        <w:pStyle w:val="Pagrindinistekstas"/>
        <w:rPr>
          <w:color w:val="000000" w:themeColor="text1"/>
        </w:rPr>
      </w:pPr>
    </w:p>
    <w:p w:rsidR="00170ACD" w:rsidRPr="00454C92" w:rsidRDefault="00170ACD" w:rsidP="00170ACD">
      <w:pPr>
        <w:ind w:left="100" w:right="118"/>
        <w:jc w:val="center"/>
        <w:rPr>
          <w:b/>
          <w:color w:val="000000" w:themeColor="text1"/>
          <w:sz w:val="24"/>
        </w:rPr>
      </w:pPr>
      <w:r w:rsidRPr="00454C92">
        <w:rPr>
          <w:b/>
          <w:color w:val="000000" w:themeColor="text1"/>
          <w:sz w:val="24"/>
        </w:rPr>
        <w:t>PRIEMONĖS ĮGYVENDINIM</w:t>
      </w:r>
      <w:r w:rsidR="00301954" w:rsidRPr="00454C92">
        <w:rPr>
          <w:b/>
          <w:color w:val="000000" w:themeColor="text1"/>
          <w:sz w:val="24"/>
        </w:rPr>
        <w:t>UI</w:t>
      </w:r>
      <w:r w:rsidRPr="00454C92">
        <w:rPr>
          <w:b/>
          <w:color w:val="000000" w:themeColor="text1"/>
          <w:sz w:val="24"/>
        </w:rPr>
        <w:t xml:space="preserve"> ŠIAULIŲ RAJONO SAVIVALDYB</w:t>
      </w:r>
      <w:r w:rsidR="00301954" w:rsidRPr="00454C92">
        <w:rPr>
          <w:b/>
          <w:color w:val="000000" w:themeColor="text1"/>
          <w:sz w:val="24"/>
        </w:rPr>
        <w:t xml:space="preserve">EI </w:t>
      </w:r>
    </w:p>
    <w:p w:rsidR="00170ACD" w:rsidRDefault="00170ACD" w:rsidP="00170ACD">
      <w:pPr>
        <w:ind w:left="100" w:right="118"/>
        <w:jc w:val="center"/>
        <w:rPr>
          <w:b/>
          <w:color w:val="000000" w:themeColor="text1"/>
          <w:sz w:val="24"/>
        </w:rPr>
      </w:pPr>
      <w:r w:rsidRPr="00454C92">
        <w:rPr>
          <w:b/>
          <w:color w:val="000000" w:themeColor="text1"/>
          <w:sz w:val="24"/>
        </w:rPr>
        <w:t>2020 MET</w:t>
      </w:r>
      <w:r w:rsidR="00301954" w:rsidRPr="00454C92">
        <w:rPr>
          <w:b/>
          <w:color w:val="000000" w:themeColor="text1"/>
          <w:sz w:val="24"/>
        </w:rPr>
        <w:t xml:space="preserve">AMS SKIRTŲ </w:t>
      </w:r>
      <w:r w:rsidR="00E74903" w:rsidRPr="00454C92">
        <w:rPr>
          <w:b/>
          <w:color w:val="000000" w:themeColor="text1"/>
          <w:sz w:val="24"/>
        </w:rPr>
        <w:t xml:space="preserve">VALSTYBĖS BIUDŽETO </w:t>
      </w:r>
      <w:r w:rsidRPr="00454C92">
        <w:rPr>
          <w:b/>
          <w:color w:val="000000" w:themeColor="text1"/>
          <w:sz w:val="24"/>
        </w:rPr>
        <w:t>LĖŠŲ PASKIRSTY</w:t>
      </w:r>
      <w:r w:rsidR="009316BE" w:rsidRPr="00454C92">
        <w:rPr>
          <w:b/>
          <w:color w:val="000000" w:themeColor="text1"/>
          <w:sz w:val="24"/>
        </w:rPr>
        <w:t>MAS</w:t>
      </w:r>
      <w:r w:rsidRPr="00454C92">
        <w:rPr>
          <w:b/>
          <w:color w:val="000000" w:themeColor="text1"/>
          <w:sz w:val="24"/>
        </w:rPr>
        <w:t xml:space="preserve"> SENIŪNIJOMS</w:t>
      </w:r>
    </w:p>
    <w:p w:rsidR="008B6C5E" w:rsidRDefault="008B6C5E" w:rsidP="00170ACD">
      <w:pPr>
        <w:ind w:left="100" w:right="118"/>
        <w:jc w:val="center"/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114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78"/>
        <w:gridCol w:w="1642"/>
        <w:gridCol w:w="2442"/>
      </w:tblGrid>
      <w:tr w:rsidR="008B6C5E" w:rsidTr="00E24433">
        <w:trPr>
          <w:trHeight w:val="547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Default="008B6C5E" w:rsidP="00E24433">
            <w:pPr>
              <w:pStyle w:val="TableParagraph"/>
              <w:spacing w:before="0" w:line="272" w:lineRule="exact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Eilės</w:t>
            </w:r>
          </w:p>
          <w:p w:rsidR="008B6C5E" w:rsidRDefault="008B6C5E" w:rsidP="00E24433">
            <w:pPr>
              <w:pStyle w:val="TableParagraph"/>
              <w:spacing w:before="0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Default="008B6C5E" w:rsidP="00E24433">
            <w:pPr>
              <w:pStyle w:val="TableParagraph"/>
              <w:spacing w:before="134" w:line="240" w:lineRule="auto"/>
              <w:ind w:left="8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Seniūnija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Default="008B6C5E" w:rsidP="00E24433">
            <w:pPr>
              <w:pStyle w:val="TableParagraph"/>
              <w:spacing w:before="0" w:line="272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Gyventojų</w:t>
            </w:r>
          </w:p>
          <w:p w:rsidR="008B6C5E" w:rsidRDefault="008B6C5E" w:rsidP="00E24433">
            <w:pPr>
              <w:pStyle w:val="TableParagraph"/>
              <w:spacing w:before="0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skaičius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Default="008B6C5E" w:rsidP="00E24433">
            <w:pPr>
              <w:pStyle w:val="TableParagraph"/>
              <w:spacing w:before="134" w:line="240" w:lineRule="auto"/>
              <w:ind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Lėšos, Eur</w:t>
            </w:r>
          </w:p>
        </w:tc>
      </w:tr>
      <w:tr w:rsidR="008B6C5E" w:rsidRPr="00D016B2" w:rsidTr="00E24433">
        <w:trPr>
          <w:trHeight w:val="284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Bubių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3 383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>
              <w:rPr>
                <w:sz w:val="24"/>
              </w:rPr>
              <w:t>2 273</w:t>
            </w:r>
            <w:r w:rsidR="00E70E55">
              <w:rPr>
                <w:sz w:val="24"/>
              </w:rPr>
              <w:t>,</w:t>
            </w:r>
            <w:r>
              <w:rPr>
                <w:sz w:val="24"/>
              </w:rPr>
              <w:t>69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Ginkūnų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3 333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 w:rsidRPr="00D016B2">
              <w:rPr>
                <w:sz w:val="24"/>
              </w:rPr>
              <w:t xml:space="preserve">2 </w:t>
            </w:r>
            <w:r>
              <w:rPr>
                <w:sz w:val="24"/>
              </w:rPr>
              <w:t>247</w:t>
            </w:r>
            <w:r w:rsidR="00E70E55">
              <w:rPr>
                <w:sz w:val="24"/>
              </w:rPr>
              <w:t>,</w:t>
            </w:r>
            <w:r>
              <w:rPr>
                <w:sz w:val="24"/>
              </w:rPr>
              <w:t>47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3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Gruzdžių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2 118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 w:rsidRPr="00D016B2">
              <w:rPr>
                <w:sz w:val="24"/>
              </w:rPr>
              <w:t xml:space="preserve">1 </w:t>
            </w:r>
            <w:r>
              <w:rPr>
                <w:sz w:val="24"/>
              </w:rPr>
              <w:t>610,46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4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Kairių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3 329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 w:rsidRPr="00D016B2">
              <w:rPr>
                <w:sz w:val="24"/>
              </w:rPr>
              <w:t xml:space="preserve">2 </w:t>
            </w:r>
            <w:r>
              <w:rPr>
                <w:sz w:val="24"/>
              </w:rPr>
              <w:t>245,38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5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Kuršėnų m</w:t>
            </w:r>
            <w:r w:rsidR="00E70E55">
              <w:rPr>
                <w:sz w:val="24"/>
              </w:rPr>
              <w:t>iesto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11 45</w:t>
            </w:r>
            <w:r w:rsidR="00E70E55">
              <w:rPr>
                <w:sz w:val="24"/>
              </w:rPr>
              <w:t>8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>
              <w:rPr>
                <w:sz w:val="24"/>
              </w:rPr>
              <w:t>6 507</w:t>
            </w:r>
            <w:r w:rsidR="00E70E55">
              <w:rPr>
                <w:sz w:val="24"/>
              </w:rPr>
              <w:t>,</w:t>
            </w:r>
            <w:r>
              <w:rPr>
                <w:sz w:val="24"/>
              </w:rPr>
              <w:t>36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6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Kuršėnų k</w:t>
            </w:r>
            <w:r w:rsidR="00E70E55">
              <w:rPr>
                <w:sz w:val="24"/>
              </w:rPr>
              <w:t>aimiškoji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3 792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 w:rsidRPr="00D016B2">
              <w:rPr>
                <w:sz w:val="24"/>
              </w:rPr>
              <w:t xml:space="preserve">2 </w:t>
            </w:r>
            <w:r>
              <w:rPr>
                <w:sz w:val="24"/>
              </w:rPr>
              <w:t>488,12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7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Kužių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3 592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 w:rsidRPr="00D016B2">
              <w:rPr>
                <w:sz w:val="24"/>
              </w:rPr>
              <w:t xml:space="preserve">2 </w:t>
            </w:r>
            <w:r>
              <w:rPr>
                <w:sz w:val="24"/>
              </w:rPr>
              <w:t>383,27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8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Meškuičių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1 962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 w:rsidRPr="00D016B2">
              <w:rPr>
                <w:sz w:val="24"/>
              </w:rPr>
              <w:t xml:space="preserve">1 </w:t>
            </w:r>
            <w:r>
              <w:rPr>
                <w:sz w:val="24"/>
              </w:rPr>
              <w:t>528</w:t>
            </w:r>
            <w:r w:rsidR="00E70E55">
              <w:rPr>
                <w:sz w:val="24"/>
              </w:rPr>
              <w:t>,</w:t>
            </w:r>
            <w:r>
              <w:rPr>
                <w:sz w:val="24"/>
              </w:rPr>
              <w:t>67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12"/>
              <w:rPr>
                <w:sz w:val="24"/>
              </w:rPr>
            </w:pPr>
            <w:r w:rsidRPr="00D016B2">
              <w:rPr>
                <w:sz w:val="24"/>
              </w:rPr>
              <w:t>9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 w:rsidRPr="00D016B2">
              <w:rPr>
                <w:sz w:val="24"/>
              </w:rPr>
              <w:t>Raudėnų</w:t>
            </w:r>
            <w:proofErr w:type="spellEnd"/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 xml:space="preserve">1 </w:t>
            </w:r>
            <w:r w:rsidR="00E70E55">
              <w:rPr>
                <w:sz w:val="24"/>
              </w:rPr>
              <w:t>1</w:t>
            </w:r>
            <w:r w:rsidRPr="00D016B2">
              <w:rPr>
                <w:sz w:val="24"/>
              </w:rPr>
              <w:t>23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>
              <w:rPr>
                <w:sz w:val="24"/>
              </w:rPr>
              <w:t>1 088,78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340" w:right="328"/>
              <w:rPr>
                <w:sz w:val="24"/>
              </w:rPr>
            </w:pPr>
            <w:r w:rsidRPr="00D016B2">
              <w:rPr>
                <w:sz w:val="24"/>
              </w:rPr>
              <w:t>10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Šakynos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1 240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>
              <w:rPr>
                <w:sz w:val="24"/>
              </w:rPr>
              <w:t>1 150,12</w:t>
            </w:r>
          </w:p>
        </w:tc>
      </w:tr>
      <w:tr w:rsidR="008B6C5E" w:rsidRPr="00D016B2" w:rsidTr="00E24433">
        <w:trPr>
          <w:trHeight w:val="285"/>
        </w:trPr>
        <w:tc>
          <w:tcPr>
            <w:tcW w:w="960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E24433">
            <w:pPr>
              <w:pStyle w:val="TableParagraph"/>
              <w:ind w:left="341" w:right="328"/>
              <w:rPr>
                <w:sz w:val="24"/>
              </w:rPr>
            </w:pPr>
            <w:r w:rsidRPr="00D016B2">
              <w:rPr>
                <w:sz w:val="24"/>
              </w:rPr>
              <w:t>11</w:t>
            </w:r>
          </w:p>
        </w:tc>
        <w:tc>
          <w:tcPr>
            <w:tcW w:w="2578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109"/>
              <w:jc w:val="both"/>
              <w:rPr>
                <w:sz w:val="24"/>
              </w:rPr>
            </w:pPr>
            <w:r w:rsidRPr="00D016B2">
              <w:rPr>
                <w:sz w:val="24"/>
              </w:rPr>
              <w:t>Šiaulių k</w:t>
            </w:r>
            <w:r w:rsidR="00E70E55">
              <w:rPr>
                <w:sz w:val="24"/>
              </w:rPr>
              <w:t>aimiškoji</w:t>
            </w:r>
          </w:p>
        </w:tc>
        <w:tc>
          <w:tcPr>
            <w:tcW w:w="16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sz w:val="24"/>
              </w:rPr>
            </w:pPr>
            <w:r w:rsidRPr="00D016B2">
              <w:rPr>
                <w:sz w:val="24"/>
              </w:rPr>
              <w:t>8 356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spacing w:before="4" w:line="261" w:lineRule="exact"/>
              <w:ind w:right="640"/>
              <w:jc w:val="left"/>
              <w:rPr>
                <w:sz w:val="24"/>
              </w:rPr>
            </w:pPr>
            <w:r>
              <w:rPr>
                <w:sz w:val="24"/>
              </w:rPr>
              <w:t>4 881,00</w:t>
            </w:r>
          </w:p>
        </w:tc>
      </w:tr>
      <w:tr w:rsidR="008B6C5E" w:rsidTr="00E24433">
        <w:trPr>
          <w:trHeight w:val="285"/>
        </w:trPr>
        <w:tc>
          <w:tcPr>
            <w:tcW w:w="3538" w:type="dxa"/>
            <w:gridSpan w:val="2"/>
            <w:tcBorders>
              <w:left w:val="single" w:sz="4" w:space="0" w:color="000009"/>
              <w:right w:val="single" w:sz="4" w:space="0" w:color="000000"/>
            </w:tcBorders>
          </w:tcPr>
          <w:p w:rsidR="008B6C5E" w:rsidRPr="00D016B2" w:rsidRDefault="008B6C5E" w:rsidP="00E24433">
            <w:pPr>
              <w:pStyle w:val="TableParagraph"/>
              <w:ind w:left="1427" w:right="1414"/>
              <w:rPr>
                <w:b/>
                <w:sz w:val="24"/>
              </w:rPr>
            </w:pPr>
            <w:r w:rsidRPr="00D016B2">
              <w:rPr>
                <w:b/>
                <w:sz w:val="24"/>
              </w:rPr>
              <w:t>Iš viso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9"/>
            </w:tcBorders>
          </w:tcPr>
          <w:p w:rsidR="008B6C5E" w:rsidRPr="00D016B2" w:rsidRDefault="008B6C5E" w:rsidP="00B60198">
            <w:pPr>
              <w:pStyle w:val="TableParagraph"/>
              <w:ind w:left="473" w:right="459"/>
              <w:jc w:val="left"/>
              <w:rPr>
                <w:b/>
                <w:sz w:val="24"/>
              </w:rPr>
            </w:pPr>
            <w:r w:rsidRPr="00D016B2">
              <w:rPr>
                <w:b/>
                <w:sz w:val="24"/>
              </w:rPr>
              <w:t xml:space="preserve">43 </w:t>
            </w:r>
            <w:r w:rsidR="00E70E55">
              <w:rPr>
                <w:b/>
                <w:sz w:val="24"/>
              </w:rPr>
              <w:t>6</w:t>
            </w:r>
            <w:r w:rsidRPr="00D016B2">
              <w:rPr>
                <w:b/>
                <w:sz w:val="24"/>
              </w:rPr>
              <w:t>8</w:t>
            </w:r>
            <w:r w:rsidR="00E70E55">
              <w:rPr>
                <w:b/>
                <w:sz w:val="24"/>
              </w:rPr>
              <w:t>6</w:t>
            </w:r>
          </w:p>
        </w:tc>
        <w:tc>
          <w:tcPr>
            <w:tcW w:w="2442" w:type="dxa"/>
            <w:tcBorders>
              <w:left w:val="single" w:sz="4" w:space="0" w:color="000009"/>
              <w:right w:val="single" w:sz="4" w:space="0" w:color="000009"/>
            </w:tcBorders>
          </w:tcPr>
          <w:p w:rsidR="008B6C5E" w:rsidRDefault="008B6C5E" w:rsidP="00B60198">
            <w:pPr>
              <w:pStyle w:val="TableParagraph"/>
              <w:ind w:right="640"/>
              <w:jc w:val="left"/>
              <w:rPr>
                <w:b/>
                <w:sz w:val="24"/>
              </w:rPr>
            </w:pPr>
            <w:r w:rsidRPr="00D016B2">
              <w:rPr>
                <w:b/>
                <w:sz w:val="24"/>
              </w:rPr>
              <w:t>28 40</w:t>
            </w:r>
            <w:r>
              <w:rPr>
                <w:b/>
                <w:sz w:val="24"/>
              </w:rPr>
              <w:t>4</w:t>
            </w:r>
            <w:r w:rsidR="00E70E5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32</w:t>
            </w:r>
          </w:p>
        </w:tc>
      </w:tr>
    </w:tbl>
    <w:p w:rsidR="008B6C5E" w:rsidRPr="00454C92" w:rsidRDefault="008B6C5E" w:rsidP="00170ACD">
      <w:pPr>
        <w:ind w:left="100" w:right="118"/>
        <w:jc w:val="center"/>
        <w:rPr>
          <w:b/>
          <w:color w:val="000000" w:themeColor="text1"/>
          <w:sz w:val="24"/>
        </w:rPr>
      </w:pPr>
    </w:p>
    <w:p w:rsidR="006C07E0" w:rsidRPr="00454C92" w:rsidRDefault="006C07E0">
      <w:pPr>
        <w:pStyle w:val="Pagrindinistekstas"/>
        <w:rPr>
          <w:b/>
          <w:color w:val="000000" w:themeColor="text1"/>
        </w:rPr>
      </w:pPr>
    </w:p>
    <w:p w:rsidR="006C07E0" w:rsidRDefault="006C07E0">
      <w:pPr>
        <w:pStyle w:val="Pagrindinistekstas"/>
        <w:rPr>
          <w:b/>
          <w:sz w:val="20"/>
        </w:rPr>
      </w:pPr>
    </w:p>
    <w:p w:rsidR="006C07E0" w:rsidRDefault="003A1E14">
      <w:pPr>
        <w:pStyle w:val="Pagrindinistekstas"/>
        <w:spacing w:before="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170815</wp:posOffset>
                </wp:positionV>
                <wp:extent cx="1371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114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.6pt,13.45pt" to="381.6pt,13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6BIQyQEAAIIDAAAOAAAAZHJzL2Uyb0RvYy54bWysU8GO0zAQvSPxD5bvNEmRCkRN99CyXApU 2uUDpraTWDgey3ab9O8ZO213gRsiB2vsmXnz5s1k/TANhp2VDxptw6tFyZmyAqW2XcN/PD+++8hZ iGAlGLSq4RcV+MPm7Zv16Gq1xB6NVJ4RiA316Brex+jqogiiVwOEBTplydmiHyDS1XeF9DAS+mCK ZVmuihG9dB6FCoFed7OTbzJ+2yoRv7dtUJGZhhO3mE+fz2M6i80a6s6D67W40oB/YDGAtlT0DrWD COzk9V9QgxYeA7ZxIXAosG21ULkH6qYq/+jmqQenci8kTnB3mcL/gxXfzgfPtGz4kjMLA41or61i y6TM6EJNAVt78Kk3Mdknt0fxMzCL2x5spzLD54ujtCplFL+lpEtwhH8cv6KkGDhFzDJNrR8SJAnA pjyNy30aaopM0GP1/kO1Kmlo4uYroL4lOh/iF4UDS0bDDXHOwHDeh5iIQH0LSXUsPmpj8rCNZWPD V+WnVU4IaLRMzhQWfHfcGs/OkNYlf7kr8rwOS8g7CP0cl13zInk8WZmr9Ark56sdQZvZJlbGXlVK wswSH1FeDv6mHg06078uZdqk1/ec/fLrbH4BAAD//wMAUEsDBBQABgAIAAAAIQCV7vLQ3gAAAAkB AAAPAAAAZHJzL2Rvd25yZXYueG1sTI/BToNAEIbvJr7DZky82UVUoMjSGI0mPRhj23jesiMg7Cxh t4W+vWM86HH++fLPN8Vqtr044uhbRwquFxEIpMqZlmoFu+3zVQbCB01G945QwQk9rMrzs0Lnxk30 jsdNqAWXkM+1giaEIZfSVw1a7RduQOLdpxutDjyOtTSjnrjc9jKOokRa3RJfaPSAjw1W3eZgFbxm 8sm9dR/V6WvavmTZulum651Slxfzwz2IgHP4g+FHn9WhZKe9O5Dxoldwd5vGjCqIkyUIBtLkhoP9 byDLQv7/oPwGAAD//wMAUEsBAi0AFAAGAAgAAAAhALaDOJL+AAAA4QEAABMAAAAAAAAAAAAAAAAA AAAAAFtDb250ZW50X1R5cGVzXS54bWxQSwECLQAUAAYACAAAACEAOP0h/9YAAACUAQAACwAAAAAA AAAAAAAAAAAvAQAAX3JlbHMvLnJlbHNQSwECLQAUAAYACAAAACEA8+gSEMkBAACCAwAADgAAAAAA AAAAAAAAAAAuAgAAZHJzL2Uyb0RvYy54bWxQSwECLQAUAAYACAAAACEAle7y0N4AAAAJAQAADwAA AAAAAAAAAAAAAAAjBAAAZHJzL2Rvd25yZXYueG1sUEsFBgAAAAAEAAQA8wAAAC4FAAAAAA== " strokeweight=".48pt">
                <w10:wrap type="topAndBottom" anchorx="page"/>
              </v:line>
            </w:pict>
          </mc:Fallback>
        </mc:AlternateContent>
      </w:r>
    </w:p>
    <w:sectPr w:rsidR="006C07E0">
      <w:pgSz w:w="11900" w:h="16840"/>
      <w:pgMar w:top="13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CA0"/>
    <w:multiLevelType w:val="multilevel"/>
    <w:tmpl w:val="F20EA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0A0013"/>
    <w:multiLevelType w:val="multilevel"/>
    <w:tmpl w:val="C1C2B5B4"/>
    <w:lvl w:ilvl="0">
      <w:start w:val="1"/>
      <w:numFmt w:val="decimal"/>
      <w:lvlText w:val="%1."/>
      <w:lvlJc w:val="left"/>
      <w:pPr>
        <w:ind w:left="118" w:hanging="306"/>
      </w:pPr>
      <w:rPr>
        <w:rFonts w:ascii="Times New Roman" w:eastAsia="Times New Roman" w:hAnsi="Times New Roman" w:cs="Times New Roman" w:hint="default"/>
        <w:color w:val="000000" w:themeColor="text1"/>
        <w:spacing w:val="-26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076" w:hanging="432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54" w:hanging="432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32" w:hanging="432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010" w:hanging="432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88" w:hanging="432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44" w:hanging="432"/>
      </w:pPr>
      <w:rPr>
        <w:rFonts w:hint="default"/>
        <w:lang w:val="lt-LT" w:eastAsia="lt-LT" w:bidi="lt-LT"/>
      </w:rPr>
    </w:lvl>
  </w:abstractNum>
  <w:abstractNum w:abstractNumId="2" w15:restartNumberingAfterBreak="0">
    <w:nsid w:val="206D2842"/>
    <w:multiLevelType w:val="hybridMultilevel"/>
    <w:tmpl w:val="312CF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405AF"/>
    <w:multiLevelType w:val="multilevel"/>
    <w:tmpl w:val="2990C1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211404C"/>
    <w:multiLevelType w:val="multilevel"/>
    <w:tmpl w:val="5BA05C6C"/>
    <w:lvl w:ilvl="0">
      <w:start w:val="2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48" w:hanging="4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042" w:hanging="46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24" w:hanging="46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06" w:hanging="46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988" w:hanging="46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71" w:hanging="46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53" w:hanging="46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35" w:hanging="460"/>
      </w:pPr>
      <w:rPr>
        <w:rFonts w:hint="default"/>
        <w:lang w:val="lt-LT" w:eastAsia="lt-LT" w:bidi="lt-LT"/>
      </w:rPr>
    </w:lvl>
  </w:abstractNum>
  <w:abstractNum w:abstractNumId="5" w15:restartNumberingAfterBreak="0">
    <w:nsid w:val="57546FAE"/>
    <w:multiLevelType w:val="multilevel"/>
    <w:tmpl w:val="6D98E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0"/>
    <w:rsid w:val="0004338F"/>
    <w:rsid w:val="000A2CEB"/>
    <w:rsid w:val="000D2FD8"/>
    <w:rsid w:val="001358CD"/>
    <w:rsid w:val="0015465E"/>
    <w:rsid w:val="00156F96"/>
    <w:rsid w:val="00170ACD"/>
    <w:rsid w:val="001832CC"/>
    <w:rsid w:val="002175FC"/>
    <w:rsid w:val="002D71CF"/>
    <w:rsid w:val="002F3484"/>
    <w:rsid w:val="002F7956"/>
    <w:rsid w:val="00301954"/>
    <w:rsid w:val="003A1E14"/>
    <w:rsid w:val="00400622"/>
    <w:rsid w:val="00454C92"/>
    <w:rsid w:val="0045780F"/>
    <w:rsid w:val="00472E96"/>
    <w:rsid w:val="004E740E"/>
    <w:rsid w:val="005546C4"/>
    <w:rsid w:val="00555825"/>
    <w:rsid w:val="005C3E95"/>
    <w:rsid w:val="0060034D"/>
    <w:rsid w:val="00644C10"/>
    <w:rsid w:val="006C07E0"/>
    <w:rsid w:val="006C3C8B"/>
    <w:rsid w:val="007A0F31"/>
    <w:rsid w:val="00801696"/>
    <w:rsid w:val="008B6C5E"/>
    <w:rsid w:val="008C0A62"/>
    <w:rsid w:val="009219EF"/>
    <w:rsid w:val="009316BE"/>
    <w:rsid w:val="00936BE5"/>
    <w:rsid w:val="009668AF"/>
    <w:rsid w:val="00A6168E"/>
    <w:rsid w:val="00AA35BF"/>
    <w:rsid w:val="00AA4759"/>
    <w:rsid w:val="00AB25BC"/>
    <w:rsid w:val="00B60198"/>
    <w:rsid w:val="00BE5E43"/>
    <w:rsid w:val="00C47F9D"/>
    <w:rsid w:val="00C85ED8"/>
    <w:rsid w:val="00D016B2"/>
    <w:rsid w:val="00DB5D75"/>
    <w:rsid w:val="00E2355D"/>
    <w:rsid w:val="00E70E55"/>
    <w:rsid w:val="00E74903"/>
    <w:rsid w:val="00E83052"/>
    <w:rsid w:val="00ED5335"/>
    <w:rsid w:val="00F027CD"/>
    <w:rsid w:val="00F47277"/>
    <w:rsid w:val="00F939A5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FFF"/>
  <w15:docId w15:val="{E0A82F97-AE73-4F42-A002-C81A91B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1791" w:right="118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8" w:firstLine="706"/>
      <w:jc w:val="both"/>
    </w:pPr>
  </w:style>
  <w:style w:type="paragraph" w:customStyle="1" w:styleId="TableParagraph">
    <w:name w:val="Table Paragraph"/>
    <w:basedOn w:val="prastasis"/>
    <w:uiPriority w:val="1"/>
    <w:qFormat/>
    <w:pPr>
      <w:spacing w:before="10" w:line="255" w:lineRule="exact"/>
      <w:ind w:left="654"/>
      <w:jc w:val="center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30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3052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2407</Words>
  <Characters>1373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XXXX</dc:creator>
  <cp:lastModifiedBy>Vilija</cp:lastModifiedBy>
  <cp:revision>2</cp:revision>
  <dcterms:created xsi:type="dcterms:W3CDTF">2020-04-15T10:15:00Z</dcterms:created>
  <dcterms:modified xsi:type="dcterms:W3CDTF">2020-04-15T10:15:00Z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2019-06-04T00:00:00Z</vt:filetime>
  </property>
</Properties>
</file>